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spis. zn.</w:t>
      </w:r>
      <w:r w:rsidR="00FB3291"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w:t>
      </w:r>
      <w:r w:rsidRPr="00CF18DA">
        <w:rPr>
          <w:rFonts w:ascii="Arial" w:hAnsi="Arial" w:cs="Arial"/>
          <w:sz w:val="22"/>
          <w:szCs w:val="22"/>
        </w:rPr>
        <w:t xml:space="preserve">Ing. Michal Švadlenka  - vedoucí odd. přípravy a realizace </w:t>
      </w:r>
    </w:p>
    <w:p w:rsidR="003D04E1"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Jana Holasová, DiS. - technik</w:t>
      </w:r>
      <w:r w:rsidRPr="00CF18DA">
        <w:rPr>
          <w:rFonts w:ascii="Arial" w:hAnsi="Arial" w:cs="Arial"/>
          <w:sz w:val="22"/>
          <w:szCs w:val="22"/>
        </w:rPr>
        <w:t xml:space="preserve"> odd. přípravy a realizace </w:t>
      </w:r>
    </w:p>
    <w:p w:rsidR="00CF18DA"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rsidR="00CF18DA" w:rsidRPr="004E5B24" w:rsidRDefault="00CF18DA" w:rsidP="00CF18DA">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B3291">
        <w:rPr>
          <w:rFonts w:ascii="Arial" w:eastAsia="Arial Unicode MS" w:hAnsi="Arial" w:cs="Arial"/>
          <w:sz w:val="22"/>
          <w:szCs w:val="22"/>
        </w:rPr>
        <w:t>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CF18DA" w:rsidRDefault="001114B3" w:rsidP="00262897">
      <w:pPr>
        <w:pStyle w:val="Zkladntext"/>
        <w:numPr>
          <w:ilvl w:val="0"/>
          <w:numId w:val="39"/>
        </w:numPr>
        <w:ind w:left="360"/>
        <w:rPr>
          <w:rFonts w:ascii="Arial" w:hAnsi="Arial" w:cs="Arial"/>
          <w:sz w:val="22"/>
          <w:szCs w:val="22"/>
        </w:rPr>
      </w:pPr>
      <w:r w:rsidRPr="00CF18DA">
        <w:rPr>
          <w:rFonts w:ascii="Arial" w:hAnsi="Arial" w:cs="Arial"/>
          <w:sz w:val="22"/>
          <w:szCs w:val="22"/>
          <w:u w:val="single"/>
        </w:rPr>
        <w:t xml:space="preserve">Předmětem </w:t>
      </w:r>
      <w:r w:rsidR="009B0820" w:rsidRPr="00CF18DA">
        <w:rPr>
          <w:rFonts w:ascii="Arial" w:hAnsi="Arial" w:cs="Arial"/>
          <w:sz w:val="22"/>
          <w:szCs w:val="22"/>
          <w:u w:val="single"/>
        </w:rPr>
        <w:t>smlouvy je zhotovení díla</w:t>
      </w:r>
      <w:r w:rsidR="009B0820" w:rsidRPr="00CF18DA">
        <w:rPr>
          <w:rFonts w:ascii="Arial" w:hAnsi="Arial" w:cs="Arial"/>
          <w:sz w:val="22"/>
          <w:szCs w:val="22"/>
        </w:rPr>
        <w:t xml:space="preserve">: </w:t>
      </w:r>
      <w:r w:rsidR="004C1316" w:rsidRPr="00CF18DA">
        <w:rPr>
          <w:rFonts w:ascii="Arial" w:hAnsi="Arial" w:cs="Arial"/>
          <w:sz w:val="22"/>
          <w:szCs w:val="22"/>
        </w:rPr>
        <w:t>„</w:t>
      </w:r>
      <w:r w:rsidR="00CF18DA" w:rsidRPr="00CF18DA">
        <w:rPr>
          <w:rFonts w:ascii="Arial" w:hAnsi="Arial" w:cs="Arial"/>
          <w:b/>
          <w:sz w:val="22"/>
          <w:szCs w:val="22"/>
        </w:rPr>
        <w:t>Nepomucká - ZŠ, Praha 5, č. akce 2970315 - BESIP</w:t>
      </w:r>
      <w:r w:rsidR="004C1316" w:rsidRPr="00CF18DA">
        <w:rPr>
          <w:rFonts w:ascii="Arial" w:hAnsi="Arial" w:cs="Arial"/>
          <w:b/>
          <w:sz w:val="22"/>
          <w:szCs w:val="22"/>
        </w:rPr>
        <w:t xml:space="preserve">“  </w:t>
      </w:r>
      <w:r w:rsidR="009B0820" w:rsidRPr="00CF18DA">
        <w:rPr>
          <w:rFonts w:ascii="Arial" w:hAnsi="Arial" w:cs="Arial"/>
          <w:bCs/>
          <w:sz w:val="22"/>
          <w:szCs w:val="22"/>
        </w:rPr>
        <w:t xml:space="preserve">dle projektové dokumentace, kterou </w:t>
      </w:r>
      <w:r w:rsidR="009B0820" w:rsidRPr="00CF18DA">
        <w:rPr>
          <w:rFonts w:ascii="Arial" w:hAnsi="Arial" w:cs="Arial"/>
          <w:sz w:val="22"/>
          <w:szCs w:val="22"/>
        </w:rPr>
        <w:t xml:space="preserve">zpracovala </w:t>
      </w:r>
      <w:r w:rsidR="00D7065E" w:rsidRPr="00CF18DA">
        <w:rPr>
          <w:rFonts w:ascii="Arial" w:hAnsi="Arial" w:cs="Arial"/>
          <w:sz w:val="22"/>
          <w:szCs w:val="22"/>
        </w:rPr>
        <w:t>společnost</w:t>
      </w:r>
      <w:r w:rsidR="004C1752" w:rsidRPr="00CF18DA">
        <w:rPr>
          <w:rFonts w:ascii="Arial" w:hAnsi="Arial" w:cs="Arial"/>
          <w:sz w:val="22"/>
          <w:szCs w:val="22"/>
        </w:rPr>
        <w:t xml:space="preserve"> </w:t>
      </w:r>
      <w:r w:rsidR="00CF18DA">
        <w:rPr>
          <w:rFonts w:ascii="Arial" w:hAnsi="Arial" w:cs="Arial"/>
          <w:sz w:val="22"/>
          <w:szCs w:val="22"/>
        </w:rPr>
        <w:t>sinpp, s.r.o., Dobrušská 1805/5, 147 00  Praha 4.</w:t>
      </w:r>
    </w:p>
    <w:p w:rsidR="00B46AD0" w:rsidRPr="00CF18DA" w:rsidRDefault="00B46AD0" w:rsidP="00CF18DA">
      <w:pPr>
        <w:pStyle w:val="Zkladntext"/>
        <w:ind w:left="360"/>
        <w:rPr>
          <w:rFonts w:ascii="Arial" w:hAnsi="Arial" w:cs="Arial"/>
          <w:sz w:val="22"/>
          <w:szCs w:val="22"/>
        </w:rPr>
      </w:pPr>
      <w:r w:rsidRPr="00CF18DA">
        <w:rPr>
          <w:rFonts w:ascii="Arial" w:hAnsi="Arial" w:cs="Arial"/>
          <w:sz w:val="22"/>
          <w:szCs w:val="22"/>
        </w:rPr>
        <w:t>Dílo je vymezeno následovně:</w:t>
      </w:r>
    </w:p>
    <w:p w:rsidR="004C1752" w:rsidRDefault="004C1752" w:rsidP="00262897">
      <w:pPr>
        <w:pStyle w:val="Zkladntext"/>
        <w:ind w:left="360"/>
        <w:rPr>
          <w:rFonts w:ascii="Arial" w:hAnsi="Arial" w:cs="Arial"/>
          <w:sz w:val="22"/>
          <w:szCs w:val="22"/>
        </w:rPr>
      </w:pPr>
    </w:p>
    <w:p w:rsidR="00CF18DA" w:rsidRDefault="00CF18DA" w:rsidP="00CF18DA">
      <w:pPr>
        <w:ind w:left="360"/>
        <w:jc w:val="both"/>
        <w:rPr>
          <w:rFonts w:ascii="Arial" w:hAnsi="Arial" w:cs="Arial"/>
          <w:sz w:val="22"/>
          <w:szCs w:val="22"/>
        </w:rPr>
      </w:pPr>
      <w:r>
        <w:rPr>
          <w:rFonts w:ascii="Arial" w:hAnsi="Arial" w:cs="Arial"/>
          <w:sz w:val="22"/>
          <w:szCs w:val="22"/>
        </w:rPr>
        <w:t>Předmětem plnění je zřízení nového zpoma</w:t>
      </w:r>
      <w:r w:rsidR="00C619C1">
        <w:rPr>
          <w:rFonts w:ascii="Arial" w:hAnsi="Arial" w:cs="Arial"/>
          <w:sz w:val="22"/>
          <w:szCs w:val="22"/>
        </w:rPr>
        <w:t xml:space="preserve">lovacího prahu v ul. Nepomucká. </w:t>
      </w:r>
      <w:bookmarkStart w:id="0" w:name="_GoBack"/>
      <w:bookmarkEnd w:id="0"/>
      <w:r>
        <w:rPr>
          <w:rFonts w:ascii="Arial" w:hAnsi="Arial" w:cs="Arial"/>
          <w:sz w:val="22"/>
          <w:szCs w:val="22"/>
        </w:rPr>
        <w:t xml:space="preserve">Tento práh bude            s asfaltovým povrchem délky cca 65 m, nájezdové rampy budou 1,5 m. Rampy budou ohraničeny kamennými obrubami OP7, které budou vloženy do betonového lože. U vozovky budou použity obruby OP4. Komunikace je jednosměrná s cyklopruhem. Šířka jízdního pruhu bude 3 m, cyklopruh 2 m, podélné parkovací stání 2 m. V místě cyklopruhu je zřízeno místo           pro zásobování školy, které je značeno pouze vodorovným dopravním značením (VDZ). Odvodnění zůstává zachováno stávající, budou doplněny dvě uliční vpusti, z toho jedna zdvojená. Chodníky budou z kamenné mozaiky opatřené úpravou pro </w:t>
      </w:r>
      <w:r w:rsidR="006B1E06" w:rsidRPr="006B1E06">
        <w:rPr>
          <w:rFonts w:ascii="Arial" w:hAnsi="Arial" w:cs="Arial"/>
          <w:sz w:val="22"/>
          <w:szCs w:val="22"/>
        </w:rPr>
        <w:t>osoby se sníženou pohyblivostí (OSP).</w:t>
      </w:r>
    </w:p>
    <w:p w:rsidR="004A4C5B" w:rsidRPr="005500AE" w:rsidRDefault="004A4C5B" w:rsidP="004C1316">
      <w:pPr>
        <w:pStyle w:val="Zhlav"/>
        <w:tabs>
          <w:tab w:val="left" w:pos="426"/>
        </w:tabs>
        <w:spacing w:after="120"/>
        <w:ind w:left="426"/>
        <w:jc w:val="both"/>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4C1316" w:rsidRDefault="00D67ED9" w:rsidP="00D67ED9">
      <w:pPr>
        <w:numPr>
          <w:ilvl w:val="0"/>
          <w:numId w:val="43"/>
        </w:numPr>
        <w:tabs>
          <w:tab w:val="num" w:pos="-468"/>
        </w:tabs>
        <w:ind w:left="709" w:hanging="283"/>
        <w:rPr>
          <w:rFonts w:ascii="Arial" w:hAnsi="Arial" w:cs="Arial"/>
          <w:sz w:val="22"/>
          <w:szCs w:val="22"/>
        </w:rPr>
      </w:pPr>
      <w:r w:rsidRPr="004C1316">
        <w:rPr>
          <w:rFonts w:ascii="Arial" w:hAnsi="Arial" w:cs="Arial"/>
          <w:sz w:val="22"/>
          <w:szCs w:val="22"/>
        </w:rPr>
        <w:t>projekt a realizace DIO,</w:t>
      </w:r>
    </w:p>
    <w:p w:rsidR="00D67ED9" w:rsidRPr="004C1316" w:rsidRDefault="00D67ED9" w:rsidP="00D67ED9">
      <w:pPr>
        <w:numPr>
          <w:ilvl w:val="0"/>
          <w:numId w:val="43"/>
        </w:numPr>
        <w:tabs>
          <w:tab w:val="num" w:pos="-1035"/>
        </w:tabs>
        <w:ind w:left="709" w:hanging="283"/>
        <w:rPr>
          <w:rFonts w:ascii="Arial" w:hAnsi="Arial" w:cs="Arial"/>
          <w:sz w:val="22"/>
          <w:szCs w:val="22"/>
        </w:rPr>
      </w:pPr>
      <w:r w:rsidRPr="004C1316">
        <w:rPr>
          <w:rFonts w:ascii="Arial" w:hAnsi="Arial" w:cs="Arial"/>
          <w:sz w:val="22"/>
          <w:szCs w:val="22"/>
        </w:rPr>
        <w:t xml:space="preserve">měření hladiny hluku  </w:t>
      </w:r>
      <w:r w:rsidR="00D53FB3" w:rsidRPr="004C1316">
        <w:rPr>
          <w:rFonts w:ascii="Arial" w:hAnsi="Arial" w:cs="Arial"/>
          <w:sz w:val="22"/>
          <w:szCs w:val="22"/>
        </w:rPr>
        <w:t xml:space="preserve"> před </w:t>
      </w:r>
      <w:r w:rsidR="004C1316" w:rsidRPr="004C1316">
        <w:rPr>
          <w:rFonts w:ascii="Arial" w:hAnsi="Arial" w:cs="Arial"/>
          <w:sz w:val="22"/>
          <w:szCs w:val="22"/>
        </w:rPr>
        <w:t xml:space="preserve"> zahájením </w:t>
      </w:r>
      <w:r w:rsidR="00D53FB3" w:rsidRPr="004C1316">
        <w:rPr>
          <w:rFonts w:ascii="Arial" w:hAnsi="Arial" w:cs="Arial"/>
          <w:sz w:val="22"/>
          <w:szCs w:val="22"/>
        </w:rPr>
        <w:t>a po</w:t>
      </w:r>
      <w:r w:rsidRPr="004C1316">
        <w:rPr>
          <w:rFonts w:ascii="Arial" w:hAnsi="Arial" w:cs="Arial"/>
          <w:sz w:val="22"/>
          <w:szCs w:val="22"/>
        </w:rPr>
        <w:t xml:space="preserve"> dokončení stavby dle požadavků Hygienické stanice hl. m. Prahy,</w:t>
      </w:r>
    </w:p>
    <w:p w:rsidR="00D67ED9" w:rsidRPr="0033517A" w:rsidRDefault="00D67ED9" w:rsidP="00D67ED9">
      <w:pPr>
        <w:numPr>
          <w:ilvl w:val="0"/>
          <w:numId w:val="43"/>
        </w:numPr>
        <w:tabs>
          <w:tab w:val="num" w:pos="-1602"/>
          <w:tab w:val="num" w:pos="709"/>
        </w:tabs>
        <w:ind w:left="709" w:hanging="283"/>
        <w:rPr>
          <w:rFonts w:ascii="Arial" w:hAnsi="Arial" w:cs="Arial"/>
          <w:sz w:val="22"/>
          <w:szCs w:val="22"/>
        </w:rPr>
      </w:pPr>
      <w:r w:rsidRPr="004C1316">
        <w:rPr>
          <w:rFonts w:ascii="Arial" w:hAnsi="Arial" w:cs="Arial"/>
          <w:sz w:val="22"/>
          <w:szCs w:val="22"/>
        </w:rPr>
        <w:t>zpracování podrobné pasportizace</w:t>
      </w:r>
      <w:r w:rsidRPr="0033517A">
        <w:rPr>
          <w:rFonts w:ascii="Arial" w:hAnsi="Arial" w:cs="Arial"/>
          <w:sz w:val="22"/>
          <w:szCs w:val="22"/>
        </w:rPr>
        <w:t xml:space="preserve"> přilehlých objektů (domů, oplocení apod.) a následné repasportizace po skončení stavby</w:t>
      </w:r>
      <w:r w:rsidR="004C1316">
        <w:rPr>
          <w:rFonts w:ascii="Arial" w:hAnsi="Arial" w:cs="Arial"/>
          <w:sz w:val="22"/>
          <w:szCs w:val="22"/>
        </w:rPr>
        <w:t>.</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CF18DA">
        <w:rPr>
          <w:rFonts w:ascii="Arial" w:hAnsi="Arial" w:cs="Arial"/>
          <w:sz w:val="22"/>
          <w:szCs w:val="22"/>
        </w:rPr>
        <w:t>Praha 5, ul. Nepomucká</w:t>
      </w:r>
      <w:r w:rsidR="004C1752">
        <w:rPr>
          <w:rFonts w:ascii="Arial" w:hAnsi="Arial" w:cs="Arial"/>
          <w:sz w:val="22"/>
          <w:szCs w:val="22"/>
        </w:rPr>
        <w:t>.</w:t>
      </w:r>
    </w:p>
    <w:p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„HLMP“),  když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rsidR="008704BD" w:rsidRPr="004E5B24" w:rsidRDefault="00424D04" w:rsidP="00F53B00">
      <w:pPr>
        <w:spacing w:before="36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37D24"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w:t>
      </w:r>
      <w:r w:rsidR="0030368C">
        <w:rPr>
          <w:rFonts w:ascii="Arial" w:hAnsi="Arial" w:cs="Arial"/>
          <w:sz w:val="22"/>
          <w:szCs w:val="22"/>
        </w:rPr>
        <w:t>díla</w:t>
      </w:r>
      <w:r w:rsidRPr="00450548">
        <w:rPr>
          <w:rFonts w:ascii="Arial" w:hAnsi="Arial" w:cs="Arial"/>
          <w:sz w:val="22"/>
          <w:szCs w:val="22"/>
        </w:rPr>
        <w:t xml:space="preserve">: </w:t>
      </w:r>
      <w:r w:rsidR="0013541D" w:rsidRPr="004C1752">
        <w:rPr>
          <w:rFonts w:ascii="Arial" w:hAnsi="Arial" w:cs="Arial"/>
          <w:sz w:val="22"/>
          <w:szCs w:val="22"/>
        </w:rPr>
        <w:t xml:space="preserve">po zveřejnění </w:t>
      </w:r>
      <w:r w:rsidR="0030368C">
        <w:rPr>
          <w:rFonts w:ascii="Arial" w:hAnsi="Arial" w:cs="Arial"/>
          <w:sz w:val="22"/>
          <w:szCs w:val="22"/>
        </w:rPr>
        <w:t xml:space="preserve">smlouvy </w:t>
      </w:r>
      <w:r w:rsidR="0013541D" w:rsidRPr="004C1752">
        <w:rPr>
          <w:rFonts w:ascii="Arial" w:hAnsi="Arial" w:cs="Arial"/>
          <w:sz w:val="22"/>
          <w:szCs w:val="22"/>
        </w:rPr>
        <w:t xml:space="preserve">v registru smluv a dále </w:t>
      </w:r>
      <w:r w:rsidR="007A066F" w:rsidRPr="004C1752">
        <w:rPr>
          <w:rFonts w:ascii="Arial" w:hAnsi="Arial" w:cs="Arial"/>
          <w:sz w:val="22"/>
          <w:szCs w:val="22"/>
        </w:rPr>
        <w:t xml:space="preserve">dle vydaného DIR, </w:t>
      </w:r>
      <w:r w:rsidR="0030368C" w:rsidRPr="004C1752">
        <w:rPr>
          <w:rFonts w:ascii="Arial" w:hAnsi="Arial" w:cs="Arial"/>
          <w:sz w:val="22"/>
          <w:szCs w:val="22"/>
        </w:rPr>
        <w:t>kter</w:t>
      </w:r>
      <w:r w:rsidR="0030368C">
        <w:rPr>
          <w:rFonts w:ascii="Arial" w:hAnsi="Arial" w:cs="Arial"/>
          <w:sz w:val="22"/>
          <w:szCs w:val="22"/>
        </w:rPr>
        <w:t>é</w:t>
      </w:r>
      <w:r w:rsidR="0030368C" w:rsidRPr="004C1752">
        <w:rPr>
          <w:rFonts w:ascii="Arial" w:hAnsi="Arial" w:cs="Arial"/>
          <w:sz w:val="22"/>
          <w:szCs w:val="22"/>
        </w:rPr>
        <w:t xml:space="preserve"> </w:t>
      </w:r>
      <w:r w:rsidR="007A066F" w:rsidRPr="00437D24">
        <w:rPr>
          <w:rFonts w:ascii="Arial" w:hAnsi="Arial" w:cs="Arial"/>
          <w:sz w:val="22"/>
          <w:szCs w:val="22"/>
        </w:rPr>
        <w:t>zajišťuje zhotovitel, ihned po předání místa realizace díla, nestanoví-li objednatel pozdější termín</w:t>
      </w:r>
      <w:r w:rsidR="0030368C" w:rsidRPr="00437D24">
        <w:rPr>
          <w:rFonts w:ascii="Arial" w:hAnsi="Arial" w:cs="Arial"/>
          <w:sz w:val="22"/>
          <w:szCs w:val="22"/>
        </w:rPr>
        <w:t>, rovněž s přihlédnutím k čl. III. odst</w:t>
      </w:r>
      <w:r w:rsidR="007A066F" w:rsidRPr="00437D24">
        <w:rPr>
          <w:rFonts w:ascii="Arial" w:hAnsi="Arial" w:cs="Arial"/>
          <w:sz w:val="22"/>
          <w:szCs w:val="22"/>
        </w:rPr>
        <w:t>.</w:t>
      </w:r>
      <w:r w:rsidR="0030368C" w:rsidRPr="00437D24">
        <w:rPr>
          <w:rFonts w:ascii="Arial" w:hAnsi="Arial" w:cs="Arial"/>
          <w:sz w:val="22"/>
          <w:szCs w:val="22"/>
        </w:rPr>
        <w:t>3 smlouvy.</w:t>
      </w:r>
    </w:p>
    <w:p w:rsidR="007A066F" w:rsidRPr="00437D24" w:rsidRDefault="007A066F" w:rsidP="007A066F">
      <w:pPr>
        <w:pStyle w:val="Odstavecseseznamem"/>
        <w:ind w:left="426"/>
        <w:jc w:val="both"/>
        <w:rPr>
          <w:rFonts w:ascii="Arial" w:hAnsi="Arial" w:cs="Arial"/>
          <w:sz w:val="22"/>
          <w:szCs w:val="22"/>
        </w:rPr>
      </w:pPr>
    </w:p>
    <w:p w:rsidR="009B0820" w:rsidRPr="00437D24" w:rsidRDefault="009B0820" w:rsidP="00C81D1B">
      <w:pPr>
        <w:pStyle w:val="Odstavecseseznamem"/>
        <w:numPr>
          <w:ilvl w:val="0"/>
          <w:numId w:val="26"/>
        </w:numPr>
        <w:ind w:left="426" w:hanging="426"/>
        <w:rPr>
          <w:rFonts w:ascii="Arial" w:hAnsi="Arial" w:cs="Arial"/>
          <w:i/>
          <w:iCs/>
          <w:sz w:val="22"/>
          <w:szCs w:val="22"/>
        </w:rPr>
      </w:pPr>
      <w:r w:rsidRPr="00437D24">
        <w:rPr>
          <w:rFonts w:ascii="Arial" w:hAnsi="Arial" w:cs="Arial"/>
          <w:sz w:val="22"/>
          <w:szCs w:val="22"/>
        </w:rPr>
        <w:lastRenderedPageBreak/>
        <w:t xml:space="preserve">Termín dokončení:  </w:t>
      </w:r>
    </w:p>
    <w:p w:rsidR="009B0820" w:rsidRPr="00437D24" w:rsidRDefault="009B0820" w:rsidP="00174BCA">
      <w:pPr>
        <w:ind w:left="426" w:hanging="426"/>
        <w:rPr>
          <w:rFonts w:ascii="Arial" w:hAnsi="Arial" w:cs="Arial"/>
          <w:i/>
          <w:iCs/>
          <w:sz w:val="22"/>
          <w:szCs w:val="22"/>
        </w:rPr>
      </w:pPr>
      <w:r w:rsidRPr="00437D24">
        <w:rPr>
          <w:rFonts w:ascii="Arial" w:hAnsi="Arial" w:cs="Arial"/>
          <w:i/>
          <w:iCs/>
          <w:sz w:val="22"/>
          <w:szCs w:val="22"/>
        </w:rPr>
        <w:t xml:space="preserve">  </w:t>
      </w:r>
      <w:r w:rsidRPr="00437D24">
        <w:rPr>
          <w:rFonts w:ascii="Arial" w:hAnsi="Arial" w:cs="Arial"/>
          <w:i/>
          <w:iCs/>
          <w:sz w:val="22"/>
          <w:szCs w:val="22"/>
        </w:rPr>
        <w:tab/>
        <w:t xml:space="preserve"> </w:t>
      </w:r>
    </w:p>
    <w:p w:rsidR="009B0820" w:rsidRPr="00437D24" w:rsidRDefault="009B0820" w:rsidP="00841B76">
      <w:pPr>
        <w:pStyle w:val="Odstavecseseznamem"/>
        <w:ind w:left="426"/>
        <w:rPr>
          <w:rFonts w:ascii="Arial" w:hAnsi="Arial" w:cs="Arial"/>
          <w:sz w:val="22"/>
          <w:szCs w:val="22"/>
        </w:rPr>
      </w:pPr>
      <w:r w:rsidRPr="00437D24">
        <w:rPr>
          <w:rFonts w:ascii="Arial" w:hAnsi="Arial" w:cs="Arial"/>
          <w:sz w:val="22"/>
          <w:szCs w:val="22"/>
        </w:rPr>
        <w:t xml:space="preserve">Lhůta výstavby uvedená v kalendářních dnech činí:   </w:t>
      </w:r>
    </w:p>
    <w:p w:rsidR="00B46AD0" w:rsidRPr="00437D24" w:rsidRDefault="00B46AD0"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37D24" w:rsidRDefault="00D67ED9"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37D24" w:rsidRDefault="00B46AD0" w:rsidP="00174BCA">
      <w:pPr>
        <w:tabs>
          <w:tab w:val="num" w:pos="426"/>
        </w:tabs>
        <w:ind w:left="426" w:hanging="426"/>
        <w:jc w:val="both"/>
        <w:outlineLvl w:val="1"/>
        <w:rPr>
          <w:rFonts w:ascii="Arial" w:hAnsi="Arial" w:cs="Arial"/>
          <w:bCs/>
          <w:sz w:val="22"/>
          <w:szCs w:val="22"/>
        </w:rPr>
      </w:pPr>
    </w:p>
    <w:p w:rsidR="009435BC" w:rsidRPr="009435BC" w:rsidRDefault="009435BC" w:rsidP="009435BC">
      <w:pPr>
        <w:pStyle w:val="Odstavecseseznamem"/>
        <w:numPr>
          <w:ilvl w:val="0"/>
          <w:numId w:val="26"/>
        </w:numPr>
        <w:ind w:left="426" w:hanging="426"/>
        <w:outlineLvl w:val="1"/>
        <w:rPr>
          <w:rFonts w:ascii="Arial" w:hAnsi="Arial" w:cs="Arial"/>
          <w:sz w:val="22"/>
          <w:szCs w:val="22"/>
        </w:rPr>
      </w:pPr>
      <w:r w:rsidRPr="009435BC">
        <w:rPr>
          <w:rFonts w:ascii="Arial" w:hAnsi="Arial" w:cs="Arial"/>
          <w:sz w:val="22"/>
          <w:szCs w:val="22"/>
        </w:rPr>
        <w:t>Zhotovitel se zavazuje, že zahájení stavebních prací bude koordinovat s investorem Pražská plnynárenská Distribuce a.s., realizujícím v daném území vlastní investiční akci.</w:t>
      </w:r>
    </w:p>
    <w:p w:rsidR="00437D24" w:rsidRPr="00437D24" w:rsidRDefault="00437D24" w:rsidP="00437D24">
      <w:pPr>
        <w:pStyle w:val="Odstavecseseznamem"/>
        <w:rPr>
          <w:rFonts w:ascii="Arial" w:hAnsi="Arial" w:cs="Arial"/>
          <w:sz w:val="22"/>
          <w:szCs w:val="22"/>
        </w:rPr>
      </w:pPr>
    </w:p>
    <w:p w:rsidR="004B5E69" w:rsidRPr="00437D24" w:rsidRDefault="004B5E69" w:rsidP="004B5E69">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37D24" w:rsidRDefault="004B5E69" w:rsidP="004B5E69">
      <w:pPr>
        <w:pStyle w:val="Odstavecseseznamem"/>
        <w:ind w:left="426"/>
        <w:outlineLvl w:val="1"/>
        <w:rPr>
          <w:rFonts w:ascii="Arial" w:hAnsi="Arial" w:cs="Arial"/>
          <w:sz w:val="22"/>
          <w:szCs w:val="22"/>
        </w:rPr>
      </w:pPr>
    </w:p>
    <w:p w:rsidR="00B46AD0" w:rsidRPr="00437D24" w:rsidRDefault="00251C13" w:rsidP="00584E68">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Zhotovitel</w:t>
      </w:r>
      <w:r w:rsidR="00B46AD0" w:rsidRPr="00437D24">
        <w:rPr>
          <w:rFonts w:ascii="Arial" w:hAnsi="Arial" w:cs="Arial"/>
          <w:sz w:val="22"/>
          <w:szCs w:val="22"/>
        </w:rPr>
        <w:t xml:space="preserve"> se zavazuje při provádění díla postupovat řádně a efektivně, aby bylo dílo provedeno dle vydaného stavebního povolení.</w:t>
      </w:r>
    </w:p>
    <w:p w:rsidR="0056761A" w:rsidRPr="00437D24" w:rsidRDefault="0056761A" w:rsidP="0056761A">
      <w:pPr>
        <w:pStyle w:val="Odstavecseseznamem"/>
        <w:rPr>
          <w:rFonts w:ascii="Arial" w:hAnsi="Arial" w:cs="Arial"/>
          <w:sz w:val="22"/>
          <w:szCs w:val="22"/>
        </w:rPr>
      </w:pPr>
    </w:p>
    <w:p w:rsidR="00262897" w:rsidRPr="00437D24" w:rsidRDefault="00262897" w:rsidP="00262897">
      <w:pPr>
        <w:pStyle w:val="Odstavecseseznamem"/>
        <w:rPr>
          <w:rFonts w:ascii="Arial" w:hAnsi="Arial" w:cs="Arial"/>
          <w:sz w:val="22"/>
          <w:szCs w:val="22"/>
        </w:rPr>
      </w:pPr>
    </w:p>
    <w:p w:rsidR="007C2F9F" w:rsidRPr="00437D24" w:rsidRDefault="007C2F9F" w:rsidP="00CA69D4">
      <w:pPr>
        <w:pStyle w:val="Odstavecseseznamem"/>
        <w:ind w:left="426"/>
        <w:outlineLvl w:val="1"/>
        <w:rPr>
          <w:rFonts w:ascii="Arial" w:hAnsi="Arial" w:cs="Arial"/>
          <w:sz w:val="22"/>
          <w:szCs w:val="22"/>
        </w:rPr>
      </w:pPr>
    </w:p>
    <w:p w:rsidR="009B0820" w:rsidRPr="00437D24" w:rsidRDefault="009B0820" w:rsidP="00707039">
      <w:pPr>
        <w:pStyle w:val="Nadpis2"/>
        <w:jc w:val="center"/>
        <w:rPr>
          <w:rFonts w:ascii="Arial" w:hAnsi="Arial" w:cs="Arial"/>
          <w:sz w:val="22"/>
          <w:szCs w:val="22"/>
        </w:rPr>
      </w:pPr>
      <w:r w:rsidRPr="00437D24">
        <w:rPr>
          <w:rFonts w:ascii="Arial" w:hAnsi="Arial" w:cs="Arial"/>
          <w:sz w:val="22"/>
          <w:szCs w:val="22"/>
        </w:rPr>
        <w:t>IV.</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Cena díla</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 </w:t>
      </w:r>
    </w:p>
    <w:p w:rsidR="00B953CF" w:rsidRPr="00437D24" w:rsidRDefault="00B953CF" w:rsidP="00B953CF">
      <w:pPr>
        <w:pStyle w:val="Odstavecseseznamem"/>
        <w:numPr>
          <w:ilvl w:val="0"/>
          <w:numId w:val="10"/>
        </w:numPr>
        <w:jc w:val="both"/>
        <w:rPr>
          <w:rFonts w:ascii="Arial" w:hAnsi="Arial" w:cs="Arial"/>
          <w:spacing w:val="8"/>
          <w:sz w:val="22"/>
          <w:szCs w:val="22"/>
        </w:rPr>
      </w:pPr>
      <w:r w:rsidRPr="00437D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37D24" w:rsidRDefault="009B0820">
      <w:pPr>
        <w:ind w:left="360"/>
        <w:jc w:val="both"/>
        <w:rPr>
          <w:rFonts w:ascii="Arial" w:hAnsi="Arial" w:cs="Arial"/>
          <w:sz w:val="22"/>
          <w:szCs w:val="22"/>
        </w:rPr>
      </w:pPr>
      <w:r w:rsidRPr="00437D24">
        <w:rPr>
          <w:rFonts w:ascii="Arial" w:hAnsi="Arial" w:cs="Arial"/>
          <w:sz w:val="22"/>
          <w:szCs w:val="22"/>
        </w:rPr>
        <w:t> </w:t>
      </w:r>
    </w:p>
    <w:p w:rsidR="009B0820" w:rsidRPr="00437D24" w:rsidRDefault="009B0820" w:rsidP="00AF3599">
      <w:pPr>
        <w:pStyle w:val="Odstavecseseznamem"/>
        <w:numPr>
          <w:ilvl w:val="0"/>
          <w:numId w:val="10"/>
        </w:numPr>
        <w:rPr>
          <w:rFonts w:ascii="Arial" w:hAnsi="Arial" w:cs="Arial"/>
          <w:b/>
          <w:bCs/>
          <w:i/>
          <w:sz w:val="22"/>
          <w:szCs w:val="22"/>
        </w:rPr>
      </w:pPr>
      <w:r w:rsidRPr="00437D24">
        <w:rPr>
          <w:rFonts w:ascii="Arial" w:hAnsi="Arial" w:cs="Arial"/>
          <w:b/>
          <w:bCs/>
          <w:sz w:val="22"/>
          <w:szCs w:val="22"/>
        </w:rPr>
        <w:t>Celkem cena za dílo  bez DPH :</w:t>
      </w:r>
      <w:r w:rsidRPr="00437D24">
        <w:rPr>
          <w:rFonts w:ascii="Arial" w:hAnsi="Arial" w:cs="Arial"/>
          <w:sz w:val="22"/>
          <w:szCs w:val="22"/>
        </w:rPr>
        <w:t xml:space="preserve">                                    </w:t>
      </w:r>
      <w:r w:rsidRPr="00437D24">
        <w:rPr>
          <w:rFonts w:ascii="Arial" w:hAnsi="Arial" w:cs="Arial"/>
          <w:sz w:val="22"/>
          <w:szCs w:val="22"/>
        </w:rPr>
        <w:tab/>
        <w:t xml:space="preserve"> </w:t>
      </w:r>
    </w:p>
    <w:p w:rsidR="009B0820" w:rsidRPr="00437D24" w:rsidRDefault="009B0820">
      <w:pPr>
        <w:pStyle w:val="Nadpis2"/>
        <w:ind w:left="360"/>
        <w:rPr>
          <w:rFonts w:ascii="Arial" w:hAnsi="Arial" w:cs="Arial"/>
          <w:i/>
          <w:sz w:val="22"/>
          <w:szCs w:val="22"/>
        </w:rPr>
      </w:pPr>
      <w:r w:rsidRPr="00437D24">
        <w:rPr>
          <w:rFonts w:ascii="Arial" w:hAnsi="Arial" w:cs="Arial"/>
          <w:i/>
          <w:sz w:val="22"/>
          <w:szCs w:val="22"/>
        </w:rPr>
        <w:t> </w:t>
      </w:r>
    </w:p>
    <w:p w:rsidR="009B0820" w:rsidRPr="00437D24" w:rsidRDefault="009B0820">
      <w:pPr>
        <w:pStyle w:val="Nadpis2"/>
        <w:rPr>
          <w:rFonts w:ascii="Arial" w:hAnsi="Arial" w:cs="Arial"/>
          <w:sz w:val="22"/>
          <w:szCs w:val="22"/>
        </w:rPr>
      </w:pPr>
      <w:r w:rsidRPr="00437D24">
        <w:rPr>
          <w:rFonts w:ascii="Arial" w:hAnsi="Arial" w:cs="Arial"/>
          <w:i/>
          <w:sz w:val="22"/>
          <w:szCs w:val="22"/>
        </w:rPr>
        <w:t xml:space="preserve">      </w:t>
      </w:r>
      <w:r w:rsidRPr="00437D24">
        <w:rPr>
          <w:rFonts w:ascii="Arial" w:hAnsi="Arial" w:cs="Arial"/>
          <w:sz w:val="22"/>
          <w:szCs w:val="22"/>
        </w:rPr>
        <w:t xml:space="preserve">DPH:                                                                         </w:t>
      </w:r>
    </w:p>
    <w:p w:rsidR="009B0820" w:rsidRPr="00437D24" w:rsidRDefault="009B0820">
      <w:pPr>
        <w:rPr>
          <w:rFonts w:ascii="Arial" w:hAnsi="Arial" w:cs="Arial"/>
          <w:sz w:val="22"/>
          <w:szCs w:val="22"/>
          <w:u w:val="single"/>
        </w:rPr>
      </w:pPr>
      <w:r w:rsidRPr="00437D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37D24">
        <w:rPr>
          <w:rFonts w:ascii="Arial" w:hAnsi="Arial" w:cs="Arial"/>
          <w:sz w:val="22"/>
          <w:szCs w:val="22"/>
        </w:rPr>
        <w:t xml:space="preserve">     Cena celkem včetně DPH :</w:t>
      </w:r>
      <w:r w:rsidRPr="004E5B24">
        <w:rPr>
          <w:rFonts w:ascii="Arial" w:hAnsi="Arial" w:cs="Arial"/>
          <w:sz w:val="22"/>
          <w:szCs w:val="22"/>
        </w:rPr>
        <w:t xml:space="preserve">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w:t>
      </w:r>
      <w:r w:rsidR="002E35A6" w:rsidRPr="004E5B24">
        <w:rPr>
          <w:rFonts w:ascii="Arial" w:hAnsi="Arial" w:cs="Arial"/>
          <w:sz w:val="22"/>
          <w:szCs w:val="22"/>
        </w:rPr>
        <w:lastRenderedPageBreak/>
        <w:t>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6B1E06">
        <w:rPr>
          <w:rFonts w:ascii="Arial" w:hAnsi="Arial" w:cs="Arial"/>
          <w:sz w:val="22"/>
          <w:szCs w:val="22"/>
        </w:rPr>
        <w:t>Zhotovitel</w:t>
      </w:r>
      <w:r w:rsidR="002D0517" w:rsidRPr="006B1E06">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AA18BA" w:rsidRDefault="0056761A" w:rsidP="0056761A">
      <w:pPr>
        <w:ind w:left="426"/>
        <w:jc w:val="both"/>
        <w:rPr>
          <w:rFonts w:ascii="Arial" w:hAnsi="Arial" w:cs="Arial"/>
          <w:sz w:val="22"/>
          <w:szCs w:val="22"/>
        </w:rPr>
      </w:pPr>
    </w:p>
    <w:p w:rsidR="0056761A" w:rsidRPr="001B1EBA" w:rsidRDefault="0056761A" w:rsidP="001B1EBA">
      <w:pPr>
        <w:pStyle w:val="Odstavecseseznamem"/>
        <w:numPr>
          <w:ilvl w:val="0"/>
          <w:numId w:val="44"/>
        </w:numPr>
        <w:jc w:val="both"/>
        <w:rPr>
          <w:rFonts w:ascii="Arial" w:hAnsi="Arial" w:cs="Arial"/>
          <w:sz w:val="22"/>
          <w:szCs w:val="22"/>
          <w:u w:val="single"/>
        </w:rPr>
      </w:pPr>
      <w:r w:rsidRPr="001B1EBA">
        <w:rPr>
          <w:rFonts w:ascii="Arial" w:hAnsi="Arial" w:cs="Arial"/>
          <w:bCs/>
          <w:sz w:val="22"/>
          <w:szCs w:val="22"/>
        </w:rPr>
        <w:t xml:space="preserve">Vzhledem k výše uvedenému prohlášení v čl.VI. odst. </w:t>
      </w:r>
      <w:r w:rsidR="0030368C">
        <w:rPr>
          <w:rFonts w:ascii="Arial" w:hAnsi="Arial" w:cs="Arial"/>
          <w:bCs/>
          <w:sz w:val="22"/>
          <w:szCs w:val="22"/>
        </w:rPr>
        <w:t>4</w:t>
      </w:r>
      <w:r w:rsidRPr="001B1EBA">
        <w:rPr>
          <w:rFonts w:ascii="Arial" w:hAnsi="Arial" w:cs="Arial"/>
          <w:bCs/>
          <w:sz w:val="22"/>
          <w:szCs w:val="22"/>
        </w:rPr>
        <w:t xml:space="preserve"> této smlouvy zhotovitel </w:t>
      </w:r>
      <w:r w:rsidRPr="001B1EBA">
        <w:rPr>
          <w:rFonts w:ascii="Arial" w:hAnsi="Arial" w:cs="Arial"/>
          <w:bCs/>
          <w:sz w:val="22"/>
          <w:szCs w:val="22"/>
          <w:u w:val="single"/>
        </w:rPr>
        <w:t xml:space="preserve">dokládá plán dopravní trasy </w:t>
      </w:r>
      <w:r w:rsidR="00262897" w:rsidRPr="001B1EBA">
        <w:rPr>
          <w:rFonts w:ascii="Arial" w:hAnsi="Arial" w:cs="Arial"/>
          <w:sz w:val="22"/>
          <w:szCs w:val="22"/>
          <w:u w:val="single"/>
        </w:rPr>
        <w:t xml:space="preserve">s uvedením vzdáleností k místu plnění díla v km, po které bude zhotovitel zajišťovat dodávku potřebného množství asfaltových směsí na staveniště, </w:t>
      </w:r>
      <w:r w:rsidR="00262897" w:rsidRPr="001B1EBA">
        <w:rPr>
          <w:rFonts w:ascii="Arial" w:eastAsia="Calibri" w:hAnsi="Arial" w:cs="Arial"/>
          <w:sz w:val="22"/>
          <w:szCs w:val="22"/>
          <w:u w:val="single"/>
          <w:lang w:eastAsia="en-US"/>
        </w:rPr>
        <w:t xml:space="preserve">s detailním rozpisem časů a průměrné rychlosti vozidla přepravujícího požadovanou </w:t>
      </w:r>
      <w:r w:rsidR="0024708D" w:rsidRPr="001B1EBA">
        <w:rPr>
          <w:rFonts w:ascii="Arial" w:hAnsi="Arial" w:cs="Arial"/>
          <w:sz w:val="22"/>
          <w:szCs w:val="22"/>
          <w:u w:val="single"/>
        </w:rPr>
        <w:t xml:space="preserve">asfaltovou směs, aby mohl </w:t>
      </w:r>
      <w:r w:rsidR="00544DCB" w:rsidRPr="001B1EBA">
        <w:rPr>
          <w:rFonts w:ascii="Arial" w:hAnsi="Arial" w:cs="Arial"/>
          <w:sz w:val="22"/>
          <w:szCs w:val="22"/>
          <w:u w:val="single"/>
        </w:rPr>
        <w:t xml:space="preserve">objednatel </w:t>
      </w:r>
      <w:r w:rsidR="0024708D" w:rsidRPr="001B1EBA">
        <w:rPr>
          <w:rFonts w:ascii="Arial" w:hAnsi="Arial" w:cs="Arial"/>
          <w:sz w:val="22"/>
          <w:szCs w:val="22"/>
          <w:u w:val="single"/>
        </w:rPr>
        <w:t>prověřit reálnost dojezdové vzdálenosti a kvalitu dovážené směsi</w:t>
      </w:r>
      <w:r w:rsidR="0024708D" w:rsidRPr="001B1EBA">
        <w:rPr>
          <w:rFonts w:ascii="Arial" w:hAnsi="Arial" w:cs="Arial"/>
          <w:bCs/>
          <w:sz w:val="22"/>
          <w:szCs w:val="22"/>
        </w:rPr>
        <w:t xml:space="preserve"> na staveniště</w:t>
      </w:r>
      <w:r w:rsidR="0024708D" w:rsidRPr="001B1EBA">
        <w:rPr>
          <w:rFonts w:ascii="Arial" w:hAnsi="Arial" w:cs="Arial"/>
          <w:sz w:val="22"/>
          <w:szCs w:val="22"/>
          <w:u w:val="single"/>
        </w:rPr>
        <w:t xml:space="preserve">,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v souladu s relevantními technickými normami </w:t>
      </w:r>
      <w:r w:rsidR="00427052">
        <w:rPr>
          <w:rFonts w:ascii="Arial" w:hAnsi="Arial" w:cs="Arial"/>
          <w:sz w:val="22"/>
          <w:szCs w:val="22"/>
          <w:u w:val="single"/>
        </w:rPr>
        <w:t>(Technické kvalitativní podmínky staveb pozemních komunikací, Kapitola 7)</w:t>
      </w:r>
      <w:r w:rsidR="0024708D" w:rsidRPr="001B1EBA">
        <w:rPr>
          <w:rFonts w:ascii="Arial" w:hAnsi="Arial" w:cs="Arial"/>
          <w:sz w:val="22"/>
          <w:szCs w:val="22"/>
          <w:u w:val="single"/>
        </w:rPr>
        <w:t xml:space="preserve">. </w:t>
      </w:r>
      <w:r w:rsidR="00544DCB" w:rsidRPr="001B1EBA">
        <w:rPr>
          <w:rFonts w:ascii="Arial" w:hAnsi="Arial" w:cs="Arial"/>
          <w:sz w:val="22"/>
          <w:szCs w:val="22"/>
          <w:u w:val="single"/>
        </w:rPr>
        <w:t>Objednatel</w:t>
      </w:r>
      <w:r w:rsidR="0024708D" w:rsidRPr="001B1EBA">
        <w:rPr>
          <w:rFonts w:ascii="Arial" w:hAnsi="Arial" w:cs="Arial"/>
          <w:sz w:val="22"/>
          <w:szCs w:val="22"/>
          <w:u w:val="single"/>
        </w:rPr>
        <w:t xml:space="preserve"> si vyhrazuje právo každou z doložených obaloven uvedených zhotovitelem prověřit oddělením laboratoře </w:t>
      </w:r>
      <w:r w:rsidR="00544DCB" w:rsidRPr="001B1EBA">
        <w:rPr>
          <w:rFonts w:ascii="Arial" w:hAnsi="Arial" w:cs="Arial"/>
          <w:sz w:val="22"/>
          <w:szCs w:val="22"/>
          <w:u w:val="single"/>
        </w:rPr>
        <w:t>objednatele</w:t>
      </w:r>
      <w:r w:rsidR="0024708D" w:rsidRPr="001B1EBA">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 xml:space="preserve">které samostatně ani ve spojení s jinými nebrání užívání díla funkčně či </w:t>
      </w:r>
      <w:r w:rsidR="00FC169D" w:rsidRPr="007A066F">
        <w:rPr>
          <w:rFonts w:ascii="Arial" w:hAnsi="Arial" w:cs="Arial"/>
          <w:sz w:val="22"/>
          <w:szCs w:val="22"/>
        </w:rPr>
        <w:lastRenderedPageBreak/>
        <w:t>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lastRenderedPageBreak/>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30368C">
        <w:rPr>
          <w:rFonts w:ascii="Arial" w:hAnsi="Arial" w:cs="Arial"/>
          <w:sz w:val="22"/>
          <w:szCs w:val="22"/>
        </w:rPr>
        <w:t>30</w:t>
      </w:r>
      <w:r w:rsidR="0030368C"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lastRenderedPageBreak/>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6B1E06" w:rsidRDefault="009B0820" w:rsidP="00AF3599">
      <w:pPr>
        <w:pStyle w:val="Zkladntext3"/>
        <w:numPr>
          <w:ilvl w:val="1"/>
          <w:numId w:val="6"/>
        </w:numPr>
        <w:spacing w:before="120"/>
        <w:ind w:left="426" w:hanging="426"/>
        <w:rPr>
          <w:rFonts w:cs="Arial"/>
          <w:sz w:val="22"/>
          <w:szCs w:val="22"/>
        </w:rPr>
      </w:pPr>
      <w:r w:rsidRPr="006B1E06">
        <w:rPr>
          <w:rFonts w:cs="Arial"/>
          <w:sz w:val="22"/>
          <w:szCs w:val="22"/>
        </w:rPr>
        <w:lastRenderedPageBreak/>
        <w:t xml:space="preserve">Při </w:t>
      </w:r>
      <w:r w:rsidR="008215E4" w:rsidRPr="006B1E06">
        <w:rPr>
          <w:rFonts w:cs="Arial"/>
          <w:sz w:val="22"/>
          <w:szCs w:val="22"/>
        </w:rPr>
        <w:t xml:space="preserve">přerušení </w:t>
      </w:r>
      <w:r w:rsidRPr="006B1E06">
        <w:rPr>
          <w:rFonts w:cs="Arial"/>
          <w:sz w:val="22"/>
          <w:szCs w:val="22"/>
        </w:rPr>
        <w:t xml:space="preserve">nebo zastavení prací na díle z důvodů na straně objednatele zaplatí objednatel </w:t>
      </w:r>
      <w:r w:rsidR="00251C13" w:rsidRPr="006B1E06">
        <w:rPr>
          <w:rFonts w:cs="Arial"/>
          <w:sz w:val="22"/>
          <w:szCs w:val="22"/>
        </w:rPr>
        <w:t>zhotovitel</w:t>
      </w:r>
      <w:r w:rsidRPr="006B1E06">
        <w:rPr>
          <w:rFonts w:cs="Arial"/>
          <w:sz w:val="22"/>
          <w:szCs w:val="22"/>
        </w:rPr>
        <w:t>i skutečně vynaložené náklady s tím spojené.</w:t>
      </w:r>
    </w:p>
    <w:p w:rsidR="009B0820"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9B0820" w:rsidRPr="006B1E06">
        <w:rPr>
          <w:rFonts w:cs="Arial"/>
          <w:sz w:val="22"/>
          <w:szCs w:val="22"/>
        </w:rPr>
        <w:t xml:space="preserve"> odpovídá za škody vzniklé při provádění díla objednateli nebo třetím osobám</w:t>
      </w:r>
      <w:r w:rsidR="00596D1C" w:rsidRPr="006B1E06">
        <w:rPr>
          <w:rFonts w:cs="Arial"/>
          <w:sz w:val="22"/>
          <w:szCs w:val="22"/>
        </w:rPr>
        <w:t>.</w:t>
      </w:r>
      <w:r w:rsidR="009B0820" w:rsidRPr="006B1E06">
        <w:rPr>
          <w:rFonts w:cs="Arial"/>
          <w:sz w:val="22"/>
          <w:szCs w:val="22"/>
        </w:rPr>
        <w:t xml:space="preserve"> </w:t>
      </w:r>
    </w:p>
    <w:p w:rsidR="00596D1C" w:rsidRPr="006B1E06" w:rsidRDefault="00251C13" w:rsidP="00AF3599">
      <w:pPr>
        <w:numPr>
          <w:ilvl w:val="1"/>
          <w:numId w:val="6"/>
        </w:numPr>
        <w:spacing w:before="120"/>
        <w:ind w:left="426" w:hanging="426"/>
        <w:jc w:val="both"/>
        <w:rPr>
          <w:rFonts w:ascii="Arial" w:hAnsi="Arial" w:cs="Arial"/>
          <w:sz w:val="22"/>
          <w:szCs w:val="22"/>
        </w:rPr>
      </w:pPr>
      <w:r w:rsidRPr="006B1E06">
        <w:rPr>
          <w:rFonts w:ascii="Arial" w:hAnsi="Arial" w:cs="Arial"/>
          <w:sz w:val="22"/>
          <w:szCs w:val="22"/>
        </w:rPr>
        <w:t>Zhotovitel</w:t>
      </w:r>
      <w:r w:rsidR="00596D1C" w:rsidRPr="006B1E06">
        <w:rPr>
          <w:rFonts w:ascii="Arial" w:hAnsi="Arial" w:cs="Arial"/>
          <w:sz w:val="22"/>
          <w:szCs w:val="22"/>
        </w:rPr>
        <w:t xml:space="preserve"> uvádí v příloze smlouvy seznam svých </w:t>
      </w:r>
      <w:r w:rsidR="00180DD5" w:rsidRPr="006B1E06">
        <w:rPr>
          <w:rFonts w:ascii="Arial" w:hAnsi="Arial" w:cs="Arial"/>
          <w:sz w:val="22"/>
          <w:szCs w:val="22"/>
        </w:rPr>
        <w:t>pod</w:t>
      </w:r>
      <w:r w:rsidRPr="006B1E06">
        <w:rPr>
          <w:rFonts w:ascii="Arial" w:hAnsi="Arial" w:cs="Arial"/>
          <w:sz w:val="22"/>
          <w:szCs w:val="22"/>
        </w:rPr>
        <w:t>dodavatelů</w:t>
      </w:r>
      <w:r w:rsidR="00180DD5" w:rsidRPr="006B1E06">
        <w:rPr>
          <w:rFonts w:ascii="Arial" w:hAnsi="Arial" w:cs="Arial"/>
          <w:sz w:val="22"/>
          <w:szCs w:val="22"/>
        </w:rPr>
        <w:t xml:space="preserve"> nad 5</w:t>
      </w:r>
      <w:r w:rsidR="00543593" w:rsidRPr="006B1E06">
        <w:rPr>
          <w:rFonts w:ascii="Arial" w:hAnsi="Arial" w:cs="Arial"/>
          <w:sz w:val="22"/>
          <w:szCs w:val="22"/>
        </w:rPr>
        <w:t xml:space="preserve"> </w:t>
      </w:r>
      <w:r w:rsidR="00180DD5" w:rsidRPr="006B1E06">
        <w:rPr>
          <w:rFonts w:ascii="Arial" w:hAnsi="Arial" w:cs="Arial"/>
          <w:sz w:val="22"/>
          <w:szCs w:val="22"/>
        </w:rPr>
        <w:t>% objemu prací z celkové ceny díla.</w:t>
      </w:r>
      <w:r w:rsidR="00596D1C" w:rsidRPr="006B1E06">
        <w:rPr>
          <w:rFonts w:ascii="Arial" w:hAnsi="Arial" w:cs="Arial"/>
          <w:sz w:val="22"/>
          <w:szCs w:val="22"/>
        </w:rPr>
        <w:t xml:space="preserve"> </w:t>
      </w:r>
      <w:r w:rsidRPr="006B1E06">
        <w:rPr>
          <w:rFonts w:ascii="Arial" w:hAnsi="Arial" w:cs="Arial"/>
          <w:sz w:val="22"/>
          <w:szCs w:val="22"/>
        </w:rPr>
        <w:t>Zhotovitel</w:t>
      </w:r>
      <w:r w:rsidR="00596D1C" w:rsidRPr="006B1E06">
        <w:rPr>
          <w:rFonts w:ascii="Arial" w:hAnsi="Arial" w:cs="Arial"/>
          <w:sz w:val="22"/>
          <w:szCs w:val="22"/>
        </w:rPr>
        <w:t xml:space="preserve"> se zavazuje v případě zájmu o zadání prací </w:t>
      </w:r>
      <w:r w:rsidR="00180DD5" w:rsidRPr="006B1E06">
        <w:rPr>
          <w:rFonts w:ascii="Arial" w:hAnsi="Arial" w:cs="Arial"/>
          <w:sz w:val="22"/>
          <w:szCs w:val="22"/>
        </w:rPr>
        <w:t>pod</w:t>
      </w:r>
      <w:r w:rsidRPr="006B1E06">
        <w:rPr>
          <w:rFonts w:ascii="Arial" w:hAnsi="Arial" w:cs="Arial"/>
          <w:sz w:val="22"/>
          <w:szCs w:val="22"/>
        </w:rPr>
        <w:t>dodavateli</w:t>
      </w:r>
      <w:r w:rsidR="00596D1C" w:rsidRPr="006B1E06">
        <w:rPr>
          <w:rFonts w:ascii="Arial" w:hAnsi="Arial" w:cs="Arial"/>
          <w:sz w:val="22"/>
          <w:szCs w:val="22"/>
        </w:rPr>
        <w:t xml:space="preserve"> neuvedenému v příloze vyžádat si předem souhlas objednatele.</w:t>
      </w:r>
    </w:p>
    <w:p w:rsidR="004943C6" w:rsidRPr="006B1E06" w:rsidRDefault="00251C13" w:rsidP="00AF3599">
      <w:pPr>
        <w:numPr>
          <w:ilvl w:val="1"/>
          <w:numId w:val="6"/>
        </w:numPr>
        <w:spacing w:before="120"/>
        <w:ind w:left="426" w:hanging="426"/>
        <w:jc w:val="both"/>
        <w:rPr>
          <w:rFonts w:ascii="Arial" w:hAnsi="Arial" w:cs="Arial"/>
          <w:sz w:val="22"/>
          <w:szCs w:val="22"/>
        </w:rPr>
      </w:pPr>
      <w:r w:rsidRPr="006B1E06">
        <w:rPr>
          <w:rFonts w:ascii="Arial" w:hAnsi="Arial" w:cs="Arial"/>
          <w:sz w:val="22"/>
          <w:szCs w:val="22"/>
        </w:rPr>
        <w:t>Zhotovitel</w:t>
      </w:r>
      <w:r w:rsidR="004943C6" w:rsidRPr="006B1E06">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6B1E06">
        <w:rPr>
          <w:rFonts w:ascii="Arial" w:hAnsi="Arial" w:cs="Arial"/>
          <w:sz w:val="22"/>
          <w:szCs w:val="22"/>
        </w:rPr>
        <w:t xml:space="preserve"> a dotčených organizací</w:t>
      </w:r>
      <w:r w:rsidR="004943C6" w:rsidRPr="006B1E06">
        <w:rPr>
          <w:rFonts w:ascii="Arial" w:hAnsi="Arial" w:cs="Arial"/>
          <w:sz w:val="22"/>
          <w:szCs w:val="22"/>
        </w:rPr>
        <w:t xml:space="preserve">. </w:t>
      </w:r>
    </w:p>
    <w:p w:rsidR="004943C6" w:rsidRPr="006B1E06" w:rsidRDefault="004943C6" w:rsidP="00AF3599">
      <w:pPr>
        <w:numPr>
          <w:ilvl w:val="1"/>
          <w:numId w:val="6"/>
        </w:numPr>
        <w:spacing w:before="120"/>
        <w:ind w:left="426" w:hanging="426"/>
        <w:jc w:val="both"/>
        <w:rPr>
          <w:rFonts w:ascii="Arial" w:hAnsi="Arial" w:cs="Arial"/>
          <w:sz w:val="22"/>
          <w:szCs w:val="22"/>
        </w:rPr>
      </w:pPr>
      <w:r w:rsidRPr="006B1E06">
        <w:rPr>
          <w:rFonts w:ascii="Arial" w:hAnsi="Arial" w:cs="Arial"/>
          <w:sz w:val="22"/>
          <w:szCs w:val="22"/>
        </w:rPr>
        <w:t>Při realizaci díla budou strany akceptovat podmínky provádění díla dle závazných rozhodnutí orgánů státní správy.</w:t>
      </w:r>
    </w:p>
    <w:p w:rsidR="0017701D"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17701D" w:rsidRPr="006B1E06">
        <w:rPr>
          <w:rFonts w:cs="Arial"/>
          <w:sz w:val="22"/>
          <w:szCs w:val="22"/>
        </w:rPr>
        <w:t xml:space="preserve"> zajistí DIR, dodrží jeho podmínky a podmínky dopravní obslužnosti a uhradí jakékoliv sankce za jeho porušení. V případě, že oprava nebude dokončena v termínu dle DIRu, si </w:t>
      </w:r>
      <w:r w:rsidRPr="006B1E06">
        <w:rPr>
          <w:rFonts w:cs="Arial"/>
          <w:sz w:val="22"/>
          <w:szCs w:val="22"/>
        </w:rPr>
        <w:t>zhotovitel</w:t>
      </w:r>
      <w:r w:rsidR="0017701D" w:rsidRPr="006B1E06">
        <w:rPr>
          <w:rFonts w:cs="Arial"/>
          <w:sz w:val="22"/>
          <w:szCs w:val="22"/>
        </w:rPr>
        <w:t xml:space="preserve"> sám a na vlastní náklady zajistí projednání a prodloužení (vydání) DIRu k řádnému dokončení práce.</w:t>
      </w:r>
    </w:p>
    <w:p w:rsidR="00E550C5" w:rsidRPr="006B1E06" w:rsidRDefault="009E7B0C" w:rsidP="009E7B0C">
      <w:pPr>
        <w:pStyle w:val="Zkladntext3"/>
        <w:numPr>
          <w:ilvl w:val="1"/>
          <w:numId w:val="6"/>
        </w:numPr>
        <w:spacing w:before="120"/>
        <w:ind w:left="426" w:hanging="426"/>
        <w:rPr>
          <w:rFonts w:cs="Arial"/>
          <w:sz w:val="22"/>
          <w:szCs w:val="22"/>
        </w:rPr>
      </w:pPr>
      <w:r w:rsidRPr="006B1E06">
        <w:rPr>
          <w:rFonts w:cs="Arial"/>
          <w:sz w:val="22"/>
          <w:szCs w:val="22"/>
        </w:rPr>
        <w:t xml:space="preserve">Osazení dopravního značení bude provedeno odbornou firmou. </w:t>
      </w:r>
      <w:r w:rsidR="00E550C5" w:rsidRPr="006B1E06">
        <w:rPr>
          <w:rFonts w:cs="Arial"/>
          <w:sz w:val="22"/>
          <w:szCs w:val="22"/>
        </w:rPr>
        <w:t xml:space="preserve">Zhotovitel se zavazuje, že dopravní značení bude realizováno dle </w:t>
      </w:r>
      <w:r w:rsidR="007055AD" w:rsidRPr="006B1E06">
        <w:rPr>
          <w:rFonts w:cs="Arial"/>
          <w:sz w:val="22"/>
          <w:szCs w:val="22"/>
        </w:rPr>
        <w:t>TP TSK</w:t>
      </w:r>
      <w:r w:rsidR="00E550C5" w:rsidRPr="006B1E06">
        <w:rPr>
          <w:rFonts w:cs="Arial"/>
          <w:sz w:val="22"/>
          <w:szCs w:val="22"/>
        </w:rPr>
        <w:t>.</w:t>
      </w:r>
    </w:p>
    <w:p w:rsidR="004943C6"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4943C6" w:rsidRPr="006B1E06">
        <w:rPr>
          <w:rFonts w:cs="Arial"/>
          <w:sz w:val="22"/>
          <w:szCs w:val="22"/>
        </w:rPr>
        <w:t xml:space="preserve"> si na vlastní náklady zajistí zařízení staveniště</w:t>
      </w:r>
      <w:r w:rsidR="00983376" w:rsidRPr="006B1E06">
        <w:rPr>
          <w:rFonts w:cs="Arial"/>
          <w:sz w:val="22"/>
          <w:szCs w:val="22"/>
        </w:rPr>
        <w:t>, včetně projednání jeho umístění</w:t>
      </w:r>
      <w:r w:rsidR="004943C6" w:rsidRPr="006B1E06">
        <w:rPr>
          <w:rFonts w:cs="Arial"/>
          <w:sz w:val="22"/>
          <w:szCs w:val="22"/>
        </w:rPr>
        <w:t>, jeho vytýčení příp. projednání záboru jeho plochy, zákresy stávajících inženýrských sítí a jejich vytýčení</w:t>
      </w:r>
      <w:r w:rsidR="00C51E0A" w:rsidRPr="006B1E06">
        <w:rPr>
          <w:rFonts w:cs="Arial"/>
          <w:sz w:val="22"/>
          <w:szCs w:val="22"/>
        </w:rPr>
        <w:t xml:space="preserve"> a měření vibrací během stavby.</w:t>
      </w:r>
    </w:p>
    <w:p w:rsidR="004943C6" w:rsidRPr="006B1E06" w:rsidRDefault="004943C6" w:rsidP="00AF3599">
      <w:pPr>
        <w:pStyle w:val="Zkladntext3"/>
        <w:numPr>
          <w:ilvl w:val="1"/>
          <w:numId w:val="6"/>
        </w:numPr>
        <w:spacing w:before="120"/>
        <w:ind w:left="426" w:hanging="426"/>
        <w:rPr>
          <w:rFonts w:cs="Arial"/>
          <w:sz w:val="22"/>
          <w:szCs w:val="22"/>
        </w:rPr>
      </w:pPr>
      <w:r w:rsidRPr="006B1E06">
        <w:rPr>
          <w:rFonts w:cs="Arial"/>
          <w:sz w:val="22"/>
          <w:szCs w:val="22"/>
        </w:rPr>
        <w:t xml:space="preserve">Před předáním díla předá </w:t>
      </w:r>
      <w:r w:rsidR="00251C13" w:rsidRPr="006B1E06">
        <w:rPr>
          <w:rFonts w:cs="Arial"/>
          <w:sz w:val="22"/>
          <w:szCs w:val="22"/>
        </w:rPr>
        <w:t>zhotovitel</w:t>
      </w:r>
      <w:r w:rsidRPr="006B1E06">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C51E0A" w:rsidRPr="006B1E06">
        <w:rPr>
          <w:rFonts w:cs="Arial"/>
          <w:sz w:val="22"/>
          <w:szCs w:val="22"/>
        </w:rPr>
        <w:t xml:space="preserve"> zajistí dopracování projektové realizační dokumentace a zábor veřejného prostranství.</w:t>
      </w:r>
    </w:p>
    <w:p w:rsidR="00C51E0A" w:rsidRPr="006B1E06" w:rsidRDefault="00C51E0A" w:rsidP="00AF3599">
      <w:pPr>
        <w:pStyle w:val="Zkladntext3"/>
        <w:numPr>
          <w:ilvl w:val="1"/>
          <w:numId w:val="6"/>
        </w:numPr>
        <w:spacing w:before="120"/>
        <w:ind w:left="426" w:hanging="426"/>
        <w:rPr>
          <w:rFonts w:cs="Arial"/>
          <w:sz w:val="22"/>
          <w:szCs w:val="22"/>
        </w:rPr>
      </w:pPr>
      <w:r w:rsidRPr="006B1E06">
        <w:rPr>
          <w:rFonts w:cs="Arial"/>
          <w:sz w:val="22"/>
          <w:szCs w:val="22"/>
        </w:rPr>
        <w:t xml:space="preserve">Před zahájením stavby předá </w:t>
      </w:r>
      <w:r w:rsidR="00251C13" w:rsidRPr="006B1E06">
        <w:rPr>
          <w:rFonts w:cs="Arial"/>
          <w:sz w:val="22"/>
          <w:szCs w:val="22"/>
        </w:rPr>
        <w:t>zhotovitel</w:t>
      </w:r>
      <w:r w:rsidRPr="006B1E06">
        <w:rPr>
          <w:rFonts w:cs="Arial"/>
          <w:sz w:val="22"/>
          <w:szCs w:val="22"/>
        </w:rPr>
        <w:t xml:space="preserve"> objednateli </w:t>
      </w:r>
      <w:r w:rsidR="009E7B0C" w:rsidRPr="006B1E06">
        <w:rPr>
          <w:rFonts w:cs="Arial"/>
          <w:sz w:val="22"/>
          <w:szCs w:val="22"/>
        </w:rPr>
        <w:t>2</w:t>
      </w:r>
      <w:r w:rsidRPr="006B1E06">
        <w:rPr>
          <w:rFonts w:cs="Arial"/>
          <w:sz w:val="22"/>
          <w:szCs w:val="22"/>
        </w:rPr>
        <w:t xml:space="preserve"> paré RDS a pasportizaci objektů.</w:t>
      </w:r>
    </w:p>
    <w:p w:rsidR="009B0820" w:rsidRPr="006B1E06" w:rsidRDefault="00251C13" w:rsidP="00AF3599">
      <w:pPr>
        <w:pStyle w:val="Zkladntext3"/>
        <w:numPr>
          <w:ilvl w:val="1"/>
          <w:numId w:val="6"/>
        </w:numPr>
        <w:spacing w:before="120"/>
        <w:ind w:left="426" w:hanging="426"/>
        <w:rPr>
          <w:rFonts w:cs="Arial"/>
          <w:sz w:val="22"/>
          <w:szCs w:val="22"/>
        </w:rPr>
      </w:pPr>
      <w:r w:rsidRPr="006B1E06">
        <w:rPr>
          <w:rFonts w:cs="Arial"/>
          <w:sz w:val="22"/>
          <w:szCs w:val="22"/>
        </w:rPr>
        <w:t>Zhotovitel</w:t>
      </w:r>
      <w:r w:rsidR="004943C6" w:rsidRPr="006B1E06">
        <w:rPr>
          <w:rFonts w:cs="Arial"/>
          <w:sz w:val="22"/>
          <w:szCs w:val="22"/>
        </w:rPr>
        <w:t xml:space="preserve"> bere na vědomí, že použití náhradních hmot, materiálů nebo výrobků musí odsouhlasit objednatel a zpracovatel PD.</w:t>
      </w:r>
      <w:r w:rsidR="009B0820" w:rsidRPr="006B1E06">
        <w:rPr>
          <w:rFonts w:cs="Arial"/>
          <w:sz w:val="22"/>
          <w:szCs w:val="22"/>
        </w:rPr>
        <w:t xml:space="preserve"> </w:t>
      </w:r>
    </w:p>
    <w:p w:rsidR="00262897" w:rsidRPr="006B1E06" w:rsidRDefault="00262897" w:rsidP="00262897">
      <w:pPr>
        <w:pStyle w:val="Zkladntext3"/>
        <w:numPr>
          <w:ilvl w:val="1"/>
          <w:numId w:val="6"/>
        </w:numPr>
        <w:spacing w:before="120"/>
        <w:ind w:left="426" w:hanging="426"/>
        <w:rPr>
          <w:rFonts w:cs="Arial"/>
          <w:sz w:val="22"/>
          <w:szCs w:val="22"/>
        </w:rPr>
      </w:pPr>
      <w:r w:rsidRPr="006B1E06">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Pr="006B1E06" w:rsidRDefault="004943C6" w:rsidP="00AF3599">
      <w:pPr>
        <w:pStyle w:val="Zkladntext3"/>
        <w:numPr>
          <w:ilvl w:val="1"/>
          <w:numId w:val="6"/>
        </w:numPr>
        <w:spacing w:before="120"/>
        <w:ind w:left="426" w:hanging="426"/>
        <w:rPr>
          <w:rFonts w:cs="Arial"/>
          <w:sz w:val="22"/>
          <w:szCs w:val="22"/>
        </w:rPr>
      </w:pPr>
      <w:r w:rsidRPr="006B1E06">
        <w:rPr>
          <w:rFonts w:cs="Arial"/>
          <w:sz w:val="22"/>
          <w:szCs w:val="22"/>
        </w:rPr>
        <w:t xml:space="preserve"> </w:t>
      </w:r>
      <w:r w:rsidR="00251C13" w:rsidRPr="006B1E06">
        <w:rPr>
          <w:rFonts w:cs="Arial"/>
          <w:sz w:val="22"/>
          <w:szCs w:val="22"/>
        </w:rPr>
        <w:t>Zhotovitel</w:t>
      </w:r>
      <w:r w:rsidR="009B0820" w:rsidRPr="006B1E06">
        <w:rPr>
          <w:rFonts w:cs="Arial"/>
          <w:sz w:val="22"/>
          <w:szCs w:val="22"/>
        </w:rPr>
        <w:t xml:space="preserve"> se zavazuje, že předloží při </w:t>
      </w:r>
      <w:r w:rsidR="00187D20" w:rsidRPr="006B1E06">
        <w:rPr>
          <w:rFonts w:cs="Arial"/>
          <w:sz w:val="22"/>
          <w:szCs w:val="22"/>
        </w:rPr>
        <w:t>předání díla</w:t>
      </w:r>
      <w:r w:rsidR="009B0820" w:rsidRPr="006B1E06">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6B1E06">
        <w:rPr>
          <w:rFonts w:cs="Arial"/>
          <w:sz w:val="22"/>
          <w:szCs w:val="22"/>
        </w:rPr>
        <w:t>.</w:t>
      </w:r>
    </w:p>
    <w:p w:rsidR="00BD6712" w:rsidRPr="006B1E06" w:rsidRDefault="00BD6712" w:rsidP="00BD6712">
      <w:pPr>
        <w:pStyle w:val="Zkladntext3"/>
        <w:numPr>
          <w:ilvl w:val="1"/>
          <w:numId w:val="6"/>
        </w:numPr>
        <w:spacing w:before="120"/>
        <w:ind w:left="426" w:hanging="426"/>
        <w:rPr>
          <w:rFonts w:cs="Arial"/>
          <w:sz w:val="22"/>
          <w:szCs w:val="22"/>
        </w:rPr>
      </w:pPr>
      <w:r w:rsidRPr="006B1E06">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Pr="006B1E06" w:rsidRDefault="00BD2417" w:rsidP="00BD2417">
      <w:pPr>
        <w:pStyle w:val="Zkladntext3"/>
        <w:numPr>
          <w:ilvl w:val="1"/>
          <w:numId w:val="6"/>
        </w:numPr>
        <w:spacing w:before="120"/>
        <w:ind w:left="426" w:hanging="426"/>
        <w:rPr>
          <w:rFonts w:cs="Arial"/>
          <w:sz w:val="22"/>
          <w:szCs w:val="22"/>
        </w:rPr>
      </w:pPr>
      <w:r w:rsidRPr="006B1E06">
        <w:rPr>
          <w:rFonts w:cs="Arial"/>
          <w:sz w:val="22"/>
          <w:szCs w:val="22"/>
        </w:rPr>
        <w:t>Zhotovitel se zavazuje, že zajistí zhotovení geometrických plánů po ukončení stavby.</w:t>
      </w:r>
    </w:p>
    <w:p w:rsidR="00BD6712" w:rsidRPr="006B1E06" w:rsidRDefault="00BD6712" w:rsidP="00BD6712">
      <w:pPr>
        <w:pStyle w:val="Zkladntext3"/>
        <w:numPr>
          <w:ilvl w:val="1"/>
          <w:numId w:val="6"/>
        </w:numPr>
        <w:spacing w:before="120"/>
        <w:ind w:left="426" w:hanging="426"/>
        <w:rPr>
          <w:rFonts w:cs="Arial"/>
          <w:sz w:val="22"/>
          <w:szCs w:val="22"/>
        </w:rPr>
      </w:pPr>
      <w:r w:rsidRPr="006B1E06">
        <w:rPr>
          <w:rFonts w:cs="Arial"/>
          <w:snapToGrid w:val="0"/>
          <w:color w:val="000000"/>
          <w:sz w:val="22"/>
          <w:szCs w:val="22"/>
        </w:rPr>
        <w:t xml:space="preserve">V případě hlukového měření zajišťovaného zhotovitelem bude doloženo souhlasné stanovisko od HSHMP. </w:t>
      </w:r>
    </w:p>
    <w:p w:rsidR="00BD2417" w:rsidRPr="006B1E06" w:rsidRDefault="00BD2417" w:rsidP="00BD2417">
      <w:pPr>
        <w:pStyle w:val="Zkladntext3"/>
        <w:numPr>
          <w:ilvl w:val="1"/>
          <w:numId w:val="6"/>
        </w:numPr>
        <w:spacing w:before="120"/>
        <w:ind w:left="426" w:hanging="426"/>
        <w:rPr>
          <w:rFonts w:cs="Arial"/>
          <w:sz w:val="22"/>
          <w:szCs w:val="22"/>
        </w:rPr>
      </w:pPr>
      <w:r w:rsidRPr="006B1E06">
        <w:rPr>
          <w:rFonts w:cs="Arial"/>
          <w:snapToGrid w:val="0"/>
          <w:color w:val="000000"/>
          <w:sz w:val="22"/>
          <w:szCs w:val="22"/>
        </w:rPr>
        <w:t>Zhotovitel předá na odd</w:t>
      </w:r>
      <w:r w:rsidR="002C3CC7" w:rsidRPr="006B1E06">
        <w:rPr>
          <w:rFonts w:cs="Arial"/>
          <w:snapToGrid w:val="0"/>
          <w:color w:val="000000"/>
          <w:sz w:val="22"/>
          <w:szCs w:val="22"/>
        </w:rPr>
        <w:t>. inf. rozvoje a GIS</w:t>
      </w:r>
      <w:r w:rsidRPr="006B1E06">
        <w:rPr>
          <w:rFonts w:cs="Arial"/>
          <w:snapToGrid w:val="0"/>
          <w:color w:val="000000"/>
          <w:sz w:val="22"/>
          <w:szCs w:val="22"/>
        </w:rPr>
        <w:t xml:space="preserve"> dokumentaci skutečného provedení stavby</w:t>
      </w:r>
      <w:r w:rsidRPr="006B1E06">
        <w:rPr>
          <w:rFonts w:cs="Arial"/>
          <w:sz w:val="22"/>
          <w:szCs w:val="22"/>
        </w:rPr>
        <w:t xml:space="preserve"> </w:t>
      </w:r>
      <w:r w:rsidRPr="006B1E06">
        <w:rPr>
          <w:rFonts w:cs="Arial"/>
          <w:snapToGrid w:val="0"/>
          <w:color w:val="000000"/>
          <w:sz w:val="22"/>
          <w:szCs w:val="22"/>
        </w:rPr>
        <w:t>v dig. formě (referenční systém Bpv), geodetické zaměření (papírově a digitálně) a potvrzení o předání na IPR Praha. Doklad k potvrzení zhotovitel obdrží od TD</w:t>
      </w:r>
      <w:r w:rsidR="003C26E5" w:rsidRPr="006B1E06">
        <w:rPr>
          <w:rFonts w:cs="Arial"/>
          <w:snapToGrid w:val="0"/>
          <w:color w:val="000000"/>
          <w:sz w:val="22"/>
          <w:szCs w:val="22"/>
        </w:rPr>
        <w:t>S</w:t>
      </w:r>
      <w:r w:rsidRPr="006B1E06">
        <w:rPr>
          <w:rFonts w:cs="Arial"/>
          <w:snapToGrid w:val="0"/>
          <w:color w:val="000000"/>
          <w:sz w:val="22"/>
          <w:szCs w:val="22"/>
        </w:rPr>
        <w:t xml:space="preserve"> dané akce.</w:t>
      </w:r>
    </w:p>
    <w:p w:rsidR="00BD6712" w:rsidRPr="006B1E06" w:rsidRDefault="00BD6712" w:rsidP="00BD6712">
      <w:pPr>
        <w:pStyle w:val="Zkladntext3"/>
        <w:numPr>
          <w:ilvl w:val="1"/>
          <w:numId w:val="6"/>
        </w:numPr>
        <w:spacing w:before="120"/>
        <w:ind w:left="426" w:hanging="426"/>
        <w:rPr>
          <w:rFonts w:cs="Arial"/>
          <w:sz w:val="22"/>
          <w:szCs w:val="22"/>
        </w:rPr>
      </w:pPr>
      <w:r w:rsidRPr="006B1E06">
        <w:rPr>
          <w:rFonts w:cs="Arial"/>
          <w:sz w:val="22"/>
          <w:szCs w:val="22"/>
        </w:rPr>
        <w:lastRenderedPageBreak/>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6B1E06" w:rsidRDefault="00BD6712" w:rsidP="00BD6712">
      <w:pPr>
        <w:pStyle w:val="Zkladntext3"/>
        <w:numPr>
          <w:ilvl w:val="1"/>
          <w:numId w:val="6"/>
        </w:numPr>
        <w:spacing w:before="120"/>
        <w:ind w:left="426" w:hanging="426"/>
        <w:rPr>
          <w:rFonts w:cs="Arial"/>
          <w:sz w:val="22"/>
          <w:szCs w:val="22"/>
        </w:rPr>
      </w:pPr>
      <w:r w:rsidRPr="006B1E06">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Pr="006B1E06"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6B1E06">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CF18DA">
        <w:rPr>
          <w:rFonts w:ascii="Arial" w:hAnsi="Arial" w:cs="Arial"/>
          <w:b/>
          <w:sz w:val="22"/>
          <w:szCs w:val="22"/>
          <w:lang w:eastAsia="x-none"/>
        </w:rPr>
        <w:t>5</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lastRenderedPageBreak/>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DF4D53" w:rsidRPr="006B1E06" w:rsidRDefault="00DF4D53" w:rsidP="00DF4D53">
      <w:pPr>
        <w:numPr>
          <w:ilvl w:val="1"/>
          <w:numId w:val="8"/>
        </w:numPr>
        <w:tabs>
          <w:tab w:val="clear" w:pos="1440"/>
          <w:tab w:val="num" w:pos="-690"/>
        </w:tabs>
        <w:ind w:left="709" w:hanging="283"/>
        <w:jc w:val="both"/>
        <w:rPr>
          <w:rFonts w:ascii="Arial" w:hAnsi="Arial" w:cs="Arial"/>
          <w:sz w:val="22"/>
          <w:szCs w:val="22"/>
        </w:rPr>
      </w:pPr>
      <w:r w:rsidRPr="006B1E06">
        <w:rPr>
          <w:rFonts w:ascii="Arial" w:eastAsia="Calibri" w:hAnsi="Arial" w:cs="Arial"/>
          <w:sz w:val="22"/>
          <w:szCs w:val="22"/>
          <w:lang w:eastAsia="en-US"/>
        </w:rPr>
        <w:t>Plán dopravní trasy s detailním rozpisem časů a průměrné rychlosti vozidla přepravujícího požadovanou asfaltovou směs na staveniště</w:t>
      </w:r>
    </w:p>
    <w:p w:rsidR="00BD6712" w:rsidRPr="006B1E06" w:rsidRDefault="00BD6712" w:rsidP="00BD6712">
      <w:pPr>
        <w:numPr>
          <w:ilvl w:val="1"/>
          <w:numId w:val="8"/>
        </w:numPr>
        <w:tabs>
          <w:tab w:val="clear" w:pos="1440"/>
          <w:tab w:val="num" w:pos="162"/>
        </w:tabs>
        <w:ind w:left="709" w:hanging="283"/>
        <w:jc w:val="both"/>
        <w:rPr>
          <w:rFonts w:ascii="Arial" w:hAnsi="Arial" w:cs="Arial"/>
          <w:sz w:val="22"/>
          <w:szCs w:val="22"/>
        </w:rPr>
      </w:pPr>
      <w:r w:rsidRPr="006B1E06">
        <w:rPr>
          <w:rFonts w:ascii="Arial" w:hAnsi="Arial" w:cs="Arial"/>
          <w:bCs/>
          <w:sz w:val="22"/>
          <w:szCs w:val="22"/>
        </w:rPr>
        <w:t>Hospodaření s vybouraným materiálem</w:t>
      </w:r>
    </w:p>
    <w:p w:rsidR="00422CC6" w:rsidRDefault="006B1E06" w:rsidP="006B1E06">
      <w:pPr>
        <w:numPr>
          <w:ilvl w:val="1"/>
          <w:numId w:val="8"/>
        </w:numPr>
        <w:tabs>
          <w:tab w:val="clear" w:pos="1440"/>
          <w:tab w:val="num" w:pos="162"/>
        </w:tabs>
        <w:ind w:left="709" w:hanging="283"/>
        <w:jc w:val="both"/>
        <w:rPr>
          <w:rFonts w:cs="Courier New"/>
          <w:szCs w:val="20"/>
        </w:rPr>
      </w:pPr>
      <w:r w:rsidRPr="006B1E06">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6B1E06" w:rsidRPr="007A066F" w:rsidRDefault="006B1E06"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CE" w:rsidRDefault="002A4DCE">
      <w:r>
        <w:separator/>
      </w:r>
    </w:p>
  </w:endnote>
  <w:endnote w:type="continuationSeparator" w:id="0">
    <w:p w:rsidR="002A4DCE" w:rsidRDefault="002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C619C1">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CE" w:rsidRDefault="002A4DCE">
      <w:r>
        <w:separator/>
      </w:r>
    </w:p>
  </w:footnote>
  <w:footnote w:type="continuationSeparator" w:id="0">
    <w:p w:rsidR="002A4DCE" w:rsidRDefault="002A4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A4DCE"/>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0368C"/>
    <w:rsid w:val="0031171E"/>
    <w:rsid w:val="00313553"/>
    <w:rsid w:val="00313556"/>
    <w:rsid w:val="00322D2E"/>
    <w:rsid w:val="00331709"/>
    <w:rsid w:val="0033517A"/>
    <w:rsid w:val="00335C95"/>
    <w:rsid w:val="00336E58"/>
    <w:rsid w:val="003459F4"/>
    <w:rsid w:val="0035036B"/>
    <w:rsid w:val="00354CCE"/>
    <w:rsid w:val="00357879"/>
    <w:rsid w:val="00363B3A"/>
    <w:rsid w:val="003666CC"/>
    <w:rsid w:val="00367C19"/>
    <w:rsid w:val="003747FF"/>
    <w:rsid w:val="00375557"/>
    <w:rsid w:val="00385408"/>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27052"/>
    <w:rsid w:val="00437D2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E490B"/>
    <w:rsid w:val="004E5B24"/>
    <w:rsid w:val="004E72CD"/>
    <w:rsid w:val="004F010D"/>
    <w:rsid w:val="004F3207"/>
    <w:rsid w:val="005028F7"/>
    <w:rsid w:val="0051249F"/>
    <w:rsid w:val="0051771A"/>
    <w:rsid w:val="00524196"/>
    <w:rsid w:val="0052629E"/>
    <w:rsid w:val="00527A65"/>
    <w:rsid w:val="0053193D"/>
    <w:rsid w:val="00534DB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06"/>
    <w:rsid w:val="006C385A"/>
    <w:rsid w:val="006C6DE3"/>
    <w:rsid w:val="006C7F2E"/>
    <w:rsid w:val="006D0702"/>
    <w:rsid w:val="006D7459"/>
    <w:rsid w:val="006F0F97"/>
    <w:rsid w:val="0070145E"/>
    <w:rsid w:val="0070398E"/>
    <w:rsid w:val="00703EEE"/>
    <w:rsid w:val="00704C87"/>
    <w:rsid w:val="007055AD"/>
    <w:rsid w:val="00707039"/>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35BC"/>
    <w:rsid w:val="00944EFE"/>
    <w:rsid w:val="00945E1C"/>
    <w:rsid w:val="009506F6"/>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22908"/>
    <w:rsid w:val="00C25922"/>
    <w:rsid w:val="00C32474"/>
    <w:rsid w:val="00C36408"/>
    <w:rsid w:val="00C365DF"/>
    <w:rsid w:val="00C3665A"/>
    <w:rsid w:val="00C42472"/>
    <w:rsid w:val="00C45141"/>
    <w:rsid w:val="00C51E0A"/>
    <w:rsid w:val="00C57729"/>
    <w:rsid w:val="00C619C1"/>
    <w:rsid w:val="00C71164"/>
    <w:rsid w:val="00C7769D"/>
    <w:rsid w:val="00C81D1B"/>
    <w:rsid w:val="00C91E2D"/>
    <w:rsid w:val="00C93CDA"/>
    <w:rsid w:val="00C94F81"/>
    <w:rsid w:val="00CA69D4"/>
    <w:rsid w:val="00CB5B65"/>
    <w:rsid w:val="00CC6BB2"/>
    <w:rsid w:val="00CD0F47"/>
    <w:rsid w:val="00CD3810"/>
    <w:rsid w:val="00CF18DA"/>
    <w:rsid w:val="00CF4436"/>
    <w:rsid w:val="00CF537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78"/>
    <w:rsid w:val="00E550C5"/>
    <w:rsid w:val="00E60415"/>
    <w:rsid w:val="00E62328"/>
    <w:rsid w:val="00E6797F"/>
    <w:rsid w:val="00E77F3C"/>
    <w:rsid w:val="00E858CC"/>
    <w:rsid w:val="00E87594"/>
    <w:rsid w:val="00E97471"/>
    <w:rsid w:val="00EA7EF0"/>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3291"/>
    <w:rsid w:val="00FB375B"/>
    <w:rsid w:val="00FB4F12"/>
    <w:rsid w:val="00FC169D"/>
    <w:rsid w:val="00FC3A28"/>
    <w:rsid w:val="00FD3C71"/>
    <w:rsid w:val="00FD458F"/>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933">
      <w:bodyDiv w:val="1"/>
      <w:marLeft w:val="0"/>
      <w:marRight w:val="0"/>
      <w:marTop w:val="0"/>
      <w:marBottom w:val="0"/>
      <w:divBdr>
        <w:top w:val="none" w:sz="0" w:space="0" w:color="auto"/>
        <w:left w:val="none" w:sz="0" w:space="0" w:color="auto"/>
        <w:bottom w:val="none" w:sz="0" w:space="0" w:color="auto"/>
        <w:right w:val="none" w:sz="0" w:space="0" w:color="auto"/>
      </w:divBdr>
    </w:div>
    <w:div w:id="4051824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1741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9579398">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B17C-24C6-4E3C-A28B-E7C9ABFD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4642</Words>
  <Characters>28749</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2019-11-05T07:49:00Z</cp:lastPrinted>
  <dcterms:created xsi:type="dcterms:W3CDTF">2019-10-30T06:47:00Z</dcterms:created>
  <dcterms:modified xsi:type="dcterms:W3CDTF">2019-11-05T07:51:00Z</dcterms:modified>
</cp:coreProperties>
</file>